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8C" w:rsidRPr="00EE6F0B" w:rsidRDefault="0087788C" w:rsidP="00165A1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F0B">
        <w:rPr>
          <w:rFonts w:ascii="Times New Roman" w:hAnsi="Times New Roman" w:cs="Times New Roman"/>
          <w:sz w:val="24"/>
          <w:szCs w:val="24"/>
        </w:rPr>
        <w:t>Предлагается убрать слова «</w:t>
      </w:r>
      <w:r w:rsidRPr="00EE6F0B">
        <w:rPr>
          <w:rFonts w:ascii="Times New Roman" w:hAnsi="Times New Roman" w:cs="Times New Roman"/>
          <w:sz w:val="24"/>
          <w:szCs w:val="24"/>
        </w:rPr>
        <w:t>для объектов</w:t>
      </w:r>
      <w:r w:rsidRPr="00EE6F0B">
        <w:rPr>
          <w:rFonts w:ascii="Times New Roman" w:hAnsi="Times New Roman" w:cs="Times New Roman"/>
          <w:sz w:val="24"/>
          <w:szCs w:val="24"/>
        </w:rPr>
        <w:t xml:space="preserve">» в пункте 1.1. так как стандарт может содержать требования пожарной безопасности как </w:t>
      </w:r>
      <w:r w:rsidRPr="00EE6F0B">
        <w:rPr>
          <w:rFonts w:ascii="Times New Roman" w:hAnsi="Times New Roman" w:cs="Times New Roman"/>
          <w:sz w:val="24"/>
          <w:szCs w:val="24"/>
        </w:rPr>
        <w:t>специальные условия социального и (или) технического характера</w:t>
      </w:r>
      <w:r w:rsidRPr="00EE6F0B">
        <w:rPr>
          <w:rFonts w:ascii="Times New Roman" w:hAnsi="Times New Roman" w:cs="Times New Roman"/>
          <w:sz w:val="24"/>
          <w:szCs w:val="24"/>
        </w:rPr>
        <w:t>, именно социального (порядок действий при пожаре, правила поведения и прочее, то есть не всё есть только требования к объектам защиты) (см. ст. 1 ФЗ-69 «</w:t>
      </w:r>
      <w:r w:rsidRPr="00EE6F0B">
        <w:rPr>
          <w:rFonts w:ascii="Times New Roman" w:hAnsi="Times New Roman" w:cs="Times New Roman"/>
          <w:sz w:val="24"/>
          <w:szCs w:val="24"/>
        </w:rPr>
        <w:t>обязательные требования пожарной безопасности</w:t>
      </w:r>
      <w:r w:rsidRPr="00EE6F0B">
        <w:rPr>
          <w:rFonts w:ascii="Times New Roman" w:hAnsi="Times New Roman" w:cs="Times New Roman"/>
          <w:sz w:val="24"/>
          <w:szCs w:val="24"/>
        </w:rPr>
        <w:t xml:space="preserve"> (</w:t>
      </w:r>
      <w:r w:rsidRPr="00EE6F0B">
        <w:rPr>
          <w:rFonts w:ascii="Times New Roman" w:hAnsi="Times New Roman" w:cs="Times New Roman"/>
          <w:sz w:val="24"/>
          <w:szCs w:val="24"/>
        </w:rPr>
        <w:t>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87788C" w:rsidRPr="00EE6F0B" w:rsidRDefault="00165A1E" w:rsidP="00165A1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F0B">
        <w:rPr>
          <w:rFonts w:ascii="Times New Roman" w:hAnsi="Times New Roman" w:cs="Times New Roman"/>
          <w:sz w:val="24"/>
          <w:szCs w:val="24"/>
        </w:rPr>
        <w:t>Слова в п. 1.1. П</w:t>
      </w:r>
      <w:r w:rsidRPr="00EE6F0B">
        <w:rPr>
          <w:rFonts w:ascii="Times New Roman" w:hAnsi="Times New Roman" w:cs="Times New Roman"/>
          <w:sz w:val="24"/>
          <w:szCs w:val="24"/>
        </w:rPr>
        <w:t>орядок согласования стандартов для объектов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государственной охраны, внешней разведки, мобилизационной подготовки и мобилизации, устанавливается указанными федеральными органами исполнительной власти и федеральными службами самостоятельно.</w:t>
      </w:r>
      <w:r w:rsidRPr="00EE6F0B">
        <w:rPr>
          <w:rFonts w:ascii="Times New Roman" w:hAnsi="Times New Roman" w:cs="Times New Roman"/>
          <w:sz w:val="24"/>
          <w:szCs w:val="24"/>
        </w:rPr>
        <w:t xml:space="preserve"> – следует доработать с учетом всех перечисленных ФОИВ (ст. 6 ФЗ-69 «</w:t>
      </w:r>
      <w:r w:rsidRPr="00EE6F0B">
        <w:rPr>
          <w:rFonts w:ascii="Times New Roman" w:hAnsi="Times New Roman" w:cs="Times New Roman"/>
          <w:sz w:val="24"/>
          <w:szCs w:val="24"/>
        </w:rPr>
        <w:t>на объектах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на объектах, занимаемых войсками национальной гвардии Российской Федерации, - подразделениями указанных федеральных органов исполнительной власти, их территориальных органов и соответствующих органов управления, а также их государственными учреждениями</w:t>
      </w:r>
      <w:r w:rsidRPr="00EE6F0B">
        <w:rPr>
          <w:rFonts w:ascii="Times New Roman" w:hAnsi="Times New Roman" w:cs="Times New Roman"/>
          <w:sz w:val="24"/>
          <w:szCs w:val="24"/>
        </w:rPr>
        <w:t>»).</w:t>
      </w:r>
    </w:p>
    <w:p w:rsidR="00165A1E" w:rsidRPr="00EE6F0B" w:rsidRDefault="00165A1E" w:rsidP="00165A1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F0B">
        <w:rPr>
          <w:rFonts w:ascii="Times New Roman" w:hAnsi="Times New Roman" w:cs="Times New Roman"/>
          <w:sz w:val="24"/>
          <w:szCs w:val="24"/>
        </w:rPr>
        <w:t xml:space="preserve">Документы указанные в части два статьи 1.1 следует принимать по </w:t>
      </w:r>
      <w:r w:rsidRPr="00EE6F0B">
        <w:rPr>
          <w:rFonts w:ascii="Times New Roman" w:hAnsi="Times New Roman" w:cs="Times New Roman"/>
          <w:sz w:val="24"/>
          <w:szCs w:val="24"/>
        </w:rPr>
        <w:t>согласованию с федеральным органом исполнительной власти, уполномоченным на решение задач в области пожарной безопасности</w:t>
      </w:r>
      <w:r w:rsidRPr="00EE6F0B">
        <w:rPr>
          <w:rFonts w:ascii="Times New Roman" w:hAnsi="Times New Roman" w:cs="Times New Roman"/>
          <w:sz w:val="24"/>
          <w:szCs w:val="24"/>
        </w:rPr>
        <w:t xml:space="preserve"> (так как сказано в ст.6 ФЗ-69 (</w:t>
      </w:r>
      <w:r w:rsidRPr="00EE6F0B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федерального государственного пожарного надзора регулируются Федеральным </w:t>
      </w:r>
      <w:hyperlink r:id="rId5" w:history="1">
        <w:r w:rsidRPr="00EE6F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6F0B">
        <w:rPr>
          <w:rFonts w:ascii="Times New Roman" w:hAnsi="Times New Roman" w:cs="Times New Roman"/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ar187" w:tooltip="на объектах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на объектах, занимаемых войсками национальной гвардии Российской Федерации, - подразделениями указанных федеральных органов исполнительной власти, их территориальных органов и соответствующих органов управления, а также их государственными учреждениями." w:history="1">
        <w:r w:rsidRPr="00EE6F0B">
          <w:rPr>
            <w:rFonts w:ascii="Times New Roman" w:hAnsi="Times New Roman" w:cs="Times New Roman"/>
            <w:sz w:val="24"/>
            <w:szCs w:val="24"/>
          </w:rPr>
          <w:t>абзаце третьем части первой</w:t>
        </w:r>
      </w:hyperlink>
      <w:r w:rsidRPr="00EE6F0B">
        <w:rPr>
          <w:rFonts w:ascii="Times New Roman" w:hAnsi="Times New Roman" w:cs="Times New Roman"/>
          <w:sz w:val="24"/>
          <w:szCs w:val="24"/>
        </w:rPr>
        <w:t xml:space="preserve"> настоящей статьи, -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власти, уполномоченным на решение задач в области пожарной безопасности</w:t>
      </w:r>
      <w:r w:rsidRPr="00EE6F0B">
        <w:rPr>
          <w:rFonts w:ascii="Times New Roman" w:hAnsi="Times New Roman" w:cs="Times New Roman"/>
          <w:sz w:val="24"/>
          <w:szCs w:val="24"/>
        </w:rPr>
        <w:t>)</w:t>
      </w:r>
      <w:r w:rsidRPr="00EE6F0B">
        <w:rPr>
          <w:rFonts w:ascii="Times New Roman" w:hAnsi="Times New Roman" w:cs="Times New Roman"/>
          <w:sz w:val="24"/>
          <w:szCs w:val="24"/>
        </w:rPr>
        <w:t>.</w:t>
      </w:r>
    </w:p>
    <w:p w:rsidR="00165A1E" w:rsidRPr="00EE6F0B" w:rsidRDefault="00165A1E" w:rsidP="00EE6F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F0B">
        <w:rPr>
          <w:rFonts w:ascii="Times New Roman" w:hAnsi="Times New Roman" w:cs="Times New Roman"/>
          <w:sz w:val="24"/>
          <w:szCs w:val="24"/>
        </w:rPr>
        <w:t xml:space="preserve">Указанный в главе 2 порядок согласования стандартов предлагается передать в ФГБУ ВНИИПО МЧС России. К примеру </w:t>
      </w:r>
      <w:r w:rsidR="00EE6F0B" w:rsidRPr="00EE6F0B">
        <w:rPr>
          <w:rFonts w:ascii="Times New Roman" w:hAnsi="Times New Roman" w:cs="Times New Roman"/>
          <w:sz w:val="24"/>
          <w:szCs w:val="24"/>
        </w:rPr>
        <w:t xml:space="preserve">- </w:t>
      </w:r>
      <w:r w:rsidR="00EE6F0B" w:rsidRPr="00EE6F0B">
        <w:rPr>
          <w:rFonts w:ascii="Times New Roman" w:hAnsi="Times New Roman" w:cs="Times New Roman"/>
          <w:sz w:val="24"/>
          <w:szCs w:val="24"/>
        </w:rPr>
        <w:t>главными государственными инспекторами субъектов Российской Федерации по пожарному надзору или их заместителями – согласовываются стандарты, разработанные для применения на территории соответствующего субъекта Российской Федерации</w:t>
      </w:r>
      <w:r w:rsidR="00EE6F0B" w:rsidRPr="00EE6F0B">
        <w:rPr>
          <w:rFonts w:ascii="Times New Roman" w:hAnsi="Times New Roman" w:cs="Times New Roman"/>
          <w:sz w:val="24"/>
          <w:szCs w:val="24"/>
        </w:rPr>
        <w:t xml:space="preserve"> (но фактически такой стандарт как </w:t>
      </w:r>
      <w:r w:rsidR="00EE6F0B" w:rsidRPr="00EE6F0B">
        <w:rPr>
          <w:rFonts w:ascii="Times New Roman" w:hAnsi="Times New Roman" w:cs="Times New Roman"/>
          <w:sz w:val="24"/>
          <w:szCs w:val="24"/>
        </w:rPr>
        <w:t>СТО 1682.0017-2020 "Роботизированная установка пожаротушения. Нормы и правила проектирования".</w:t>
      </w:r>
      <w:r w:rsidR="00EE6F0B" w:rsidRPr="00EE6F0B">
        <w:rPr>
          <w:rFonts w:ascii="Times New Roman" w:hAnsi="Times New Roman" w:cs="Times New Roman"/>
          <w:sz w:val="24"/>
          <w:szCs w:val="24"/>
        </w:rPr>
        <w:t xml:space="preserve"> https://www.firerobots.ru/ru/company/sertificates/sto-stu/</w:t>
      </w:r>
      <w:r w:rsidR="00EE6F0B" w:rsidRPr="00EE6F0B">
        <w:rPr>
          <w:rFonts w:ascii="Times New Roman" w:hAnsi="Times New Roman" w:cs="Times New Roman"/>
          <w:sz w:val="24"/>
          <w:szCs w:val="24"/>
        </w:rPr>
        <w:t>;</w:t>
      </w:r>
      <w:r w:rsidR="00EE6F0B" w:rsidRPr="00EE6F0B">
        <w:rPr>
          <w:rFonts w:ascii="Times New Roman" w:hAnsi="Times New Roman" w:cs="Times New Roman"/>
          <w:sz w:val="24"/>
          <w:szCs w:val="24"/>
        </w:rPr>
        <w:t xml:space="preserve"> является сложным и для субъективного уровня ГПН и для любого другого, с такими документами работает только ВНИИПО и Академия ГПС МЧС.</w:t>
      </w:r>
    </w:p>
    <w:p w:rsidR="00EE6F0B" w:rsidRPr="00EE6F0B" w:rsidRDefault="00EE6F0B" w:rsidP="00EE6F0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F0B">
        <w:rPr>
          <w:rFonts w:ascii="Times New Roman" w:hAnsi="Times New Roman" w:cs="Times New Roman"/>
          <w:sz w:val="24"/>
          <w:szCs w:val="24"/>
        </w:rPr>
        <w:t>В пункте «</w:t>
      </w:r>
      <w:r w:rsidRPr="00EE6F0B">
        <w:rPr>
          <w:rFonts w:ascii="Times New Roman" w:hAnsi="Times New Roman" w:cs="Times New Roman"/>
          <w:sz w:val="24"/>
          <w:szCs w:val="24"/>
        </w:rPr>
        <w:t>3.2. Одновременно со стандартами направляются:</w:t>
      </w:r>
      <w:r w:rsidRPr="00EE6F0B">
        <w:rPr>
          <w:rFonts w:ascii="Times New Roman" w:hAnsi="Times New Roman" w:cs="Times New Roman"/>
          <w:sz w:val="24"/>
          <w:szCs w:val="24"/>
        </w:rPr>
        <w:t>» следует оговорить обязательность и необходимость «</w:t>
      </w:r>
      <w:r w:rsidRPr="00EE6F0B">
        <w:rPr>
          <w:rFonts w:ascii="Times New Roman" w:hAnsi="Times New Roman" w:cs="Times New Roman"/>
          <w:sz w:val="24"/>
          <w:szCs w:val="24"/>
        </w:rPr>
        <w:t>заключение пожарно-технических научно-исследовательских учреждений либо пожарно-технических образовательных организаций, либо иных научных и образовательных организаций, к видам деятельности которых относятся вопросы в сфере обеспечения пожарной безопасности.</w:t>
      </w:r>
      <w:r w:rsidRPr="00EE6F0B">
        <w:rPr>
          <w:rFonts w:ascii="Times New Roman" w:hAnsi="Times New Roman" w:cs="Times New Roman"/>
          <w:sz w:val="24"/>
          <w:szCs w:val="24"/>
        </w:rPr>
        <w:t xml:space="preserve">» - иначе это приведет к платности этих услуг для </w:t>
      </w:r>
      <w:proofErr w:type="spellStart"/>
      <w:r w:rsidRPr="00EE6F0B">
        <w:rPr>
          <w:rFonts w:ascii="Times New Roman" w:hAnsi="Times New Roman" w:cs="Times New Roman"/>
          <w:sz w:val="24"/>
          <w:szCs w:val="24"/>
        </w:rPr>
        <w:t>сторонных</w:t>
      </w:r>
      <w:proofErr w:type="spellEnd"/>
      <w:r w:rsidRPr="00EE6F0B">
        <w:rPr>
          <w:rFonts w:ascii="Times New Roman" w:hAnsi="Times New Roman" w:cs="Times New Roman"/>
          <w:sz w:val="24"/>
          <w:szCs w:val="24"/>
        </w:rPr>
        <w:t xml:space="preserve"> организаций как это уже было с выдачей заключений по разработке «Проектов технологических процессов повышенной пожарной опасности» по ГОСТ 12.3.047 и «согласований расчетов пожарного риска» в той или иной форме в тех же ВНИИПО, и СЭУ ИПЛ. Следует указать «на возможность выбора вида заключения или вообще отказа от его предоставления» - торг на уровне Управлений ГПН по субъектам не уместен, а весомый документ из «научной» организации будет только препятствовать. Лучше всего оставить так называемый переходный </w:t>
      </w:r>
      <w:proofErr w:type="gramStart"/>
      <w:r w:rsidRPr="00EE6F0B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EE6F0B">
        <w:rPr>
          <w:rFonts w:ascii="Times New Roman" w:hAnsi="Times New Roman" w:cs="Times New Roman"/>
          <w:sz w:val="24"/>
          <w:szCs w:val="24"/>
        </w:rPr>
        <w:t xml:space="preserve"> когда есть бесплатная обязанность рассмотрения всех стандартов во ВНИИПО, в течении 10 дней. И далее если ВНИИПО условно обобщит опыт применения тех или иных стандартов, то выпустит уже федеральные своды правил СП (ГОСТ Р) на те или иные аспекты пожарной безопасности. </w:t>
      </w:r>
    </w:p>
    <w:p w:rsidR="008A06E2" w:rsidRPr="008A06E2" w:rsidRDefault="008A06E2" w:rsidP="00070F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06E2">
        <w:rPr>
          <w:rFonts w:ascii="Times New Roman" w:hAnsi="Times New Roman" w:cs="Times New Roman"/>
          <w:sz w:val="24"/>
          <w:szCs w:val="24"/>
        </w:rPr>
        <w:t>В Пункте 3.3. порядок предоставления указать вместо слов «</w:t>
      </w:r>
      <w:proofErr w:type="gramStart"/>
      <w:r w:rsidRPr="008A06E2">
        <w:rPr>
          <w:rFonts w:ascii="Times New Roman" w:hAnsi="Times New Roman" w:cs="Times New Roman"/>
          <w:sz w:val="24"/>
          <w:szCs w:val="24"/>
        </w:rPr>
        <w:t>посредством почтой</w:t>
      </w:r>
      <w:proofErr w:type="gramEnd"/>
      <w:r w:rsidRPr="008A06E2"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8A06E2">
        <w:rPr>
          <w:rFonts w:ascii="Times New Roman" w:hAnsi="Times New Roman" w:cs="Times New Roman"/>
          <w:sz w:val="24"/>
          <w:szCs w:val="24"/>
        </w:rPr>
        <w:t>», «з</w:t>
      </w:r>
      <w:r w:rsidRPr="008A06E2">
        <w:rPr>
          <w:rFonts w:ascii="Times New Roman" w:hAnsi="Times New Roman" w:cs="Times New Roman"/>
          <w:sz w:val="24"/>
          <w:szCs w:val="24"/>
        </w:rPr>
        <w:t xml:space="preserve">аявление и прилагаемые копии документов подаются в главное управление МЧС России по </w:t>
      </w:r>
      <w:r w:rsidRPr="008A06E2">
        <w:rPr>
          <w:rFonts w:ascii="Times New Roman" w:hAnsi="Times New Roman" w:cs="Times New Roman"/>
          <w:sz w:val="24"/>
          <w:szCs w:val="24"/>
        </w:rPr>
        <w:lastRenderedPageBreak/>
        <w:t>субъекту Российской Федерации непосредственно или направляются</w:t>
      </w:r>
      <w:r w:rsidRPr="008A06E2">
        <w:rPr>
          <w:rFonts w:ascii="Times New Roman" w:hAnsi="Times New Roman" w:cs="Times New Roman"/>
          <w:sz w:val="24"/>
          <w:szCs w:val="24"/>
        </w:rPr>
        <w:t xml:space="preserve"> по электронной почте или </w:t>
      </w:r>
      <w:r w:rsidRPr="008A06E2"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 и описью вложения</w:t>
      </w:r>
      <w:r w:rsidRPr="008A06E2">
        <w:rPr>
          <w:rFonts w:ascii="Times New Roman" w:hAnsi="Times New Roman" w:cs="Times New Roman"/>
          <w:sz w:val="24"/>
          <w:szCs w:val="24"/>
        </w:rPr>
        <w:t>»</w:t>
      </w:r>
      <w:r w:rsidRPr="008A06E2">
        <w:rPr>
          <w:rFonts w:ascii="Times New Roman" w:hAnsi="Times New Roman" w:cs="Times New Roman"/>
          <w:sz w:val="24"/>
          <w:szCs w:val="24"/>
        </w:rPr>
        <w:t>.</w:t>
      </w:r>
      <w:r w:rsidRPr="008A06E2">
        <w:rPr>
          <w:rFonts w:ascii="Times New Roman" w:hAnsi="Times New Roman" w:cs="Times New Roman"/>
          <w:sz w:val="24"/>
          <w:szCs w:val="24"/>
        </w:rPr>
        <w:t xml:space="preserve"> Нельзя исключать электронный документооборот и подписание документов ЭЦП и их отправку в том числе как указано в Постановлении</w:t>
      </w:r>
      <w:r w:rsidRPr="008A06E2">
        <w:rPr>
          <w:rFonts w:ascii="Times New Roman" w:hAnsi="Times New Roman" w:cs="Times New Roman"/>
          <w:sz w:val="24"/>
          <w:szCs w:val="24"/>
        </w:rPr>
        <w:t xml:space="preserve"> Правительства РФ от 31 августа 2020 г. N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 </w:t>
      </w:r>
      <w:r w:rsidRPr="008A06E2">
        <w:rPr>
          <w:rFonts w:ascii="Times New Roman" w:hAnsi="Times New Roman" w:cs="Times New Roman"/>
          <w:sz w:val="24"/>
          <w:szCs w:val="24"/>
        </w:rPr>
        <w:t>(«</w:t>
      </w:r>
      <w:r w:rsidRPr="008A06E2">
        <w:rPr>
          <w:rFonts w:ascii="Times New Roman" w:hAnsi="Times New Roman" w:cs="Times New Roman"/>
          <w:sz w:val="24"/>
          <w:szCs w:val="24"/>
        </w:rPr>
        <w:t xml:space="preserve">По желанию заявителя копия заключения может быть направлена в орган или учреждение, указанные в </w:t>
      </w:r>
      <w:hyperlink r:id="rId6" w:anchor="block_1008" w:history="1">
        <w:r w:rsidRPr="008A06E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8A06E2">
        <w:rPr>
          <w:rFonts w:ascii="Times New Roman" w:hAnsi="Times New Roman" w:cs="Times New Roman"/>
          <w:sz w:val="24"/>
          <w:szCs w:val="24"/>
        </w:rPr>
        <w:t xml:space="preserve"> настоящего пункта, с использованием федеральной государственной информационной системы "Единый портал государственных и муниципальных услуг (функций)" или иным способом, подтверждающим факт направления заключения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06E2">
        <w:rPr>
          <w:rFonts w:ascii="Times New Roman" w:hAnsi="Times New Roman" w:cs="Times New Roman"/>
          <w:sz w:val="24"/>
          <w:szCs w:val="24"/>
        </w:rPr>
        <w:t>.</w:t>
      </w:r>
    </w:p>
    <w:p w:rsidR="008A06E2" w:rsidRPr="008A06E2" w:rsidRDefault="008A06E2" w:rsidP="008A06E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8A06E2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6E2">
        <w:rPr>
          <w:rFonts w:ascii="Times New Roman" w:hAnsi="Times New Roman" w:cs="Times New Roman"/>
          <w:sz w:val="24"/>
          <w:szCs w:val="24"/>
        </w:rPr>
        <w:t>В случае поступления стандарта, рассмотрение которого не входит в компетенцию ответственного подразделения МЧС России, его руководитель либо один из его заместителей в течение 10 календарных дней направляет стандарт в соответствующее ответственное подразделение МЧС России, в соответствии с компетенцией, установленной пунктом 3.1. порядка.</w:t>
      </w:r>
      <w:r>
        <w:rPr>
          <w:rFonts w:ascii="Times New Roman" w:hAnsi="Times New Roman" w:cs="Times New Roman"/>
          <w:sz w:val="24"/>
          <w:szCs w:val="24"/>
        </w:rPr>
        <w:t>» указать срок гораздо меньший, скажем 5 дней, потому что документ фактически не рассматривается и просто пересылается</w:t>
      </w:r>
    </w:p>
    <w:p w:rsidR="008A06E2" w:rsidRPr="008A06E2" w:rsidRDefault="008A06E2" w:rsidP="00AD287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</w:t>
      </w:r>
      <w:r w:rsidRPr="008A06E2">
        <w:rPr>
          <w:rFonts w:ascii="Times New Roman" w:hAnsi="Times New Roman" w:cs="Times New Roman"/>
          <w:sz w:val="24"/>
          <w:szCs w:val="24"/>
        </w:rPr>
        <w:t>В этом случае ответственное подразделение МЧС России направляет заявителю уведомление</w:t>
      </w:r>
      <w:r w:rsidRPr="008A06E2">
        <w:rPr>
          <w:rFonts w:ascii="Times New Roman" w:hAnsi="Times New Roman" w:cs="Times New Roman"/>
          <w:sz w:val="24"/>
          <w:szCs w:val="24"/>
        </w:rPr>
        <w:t>» добавить «в том числе дублирует уведомление по электронной почте или иным способом указанным заявителем, по его желанию (на мессенджер, почтовым отправлением, эл. Почтой и т.п.»</w:t>
      </w:r>
    </w:p>
    <w:p w:rsidR="008A06E2" w:rsidRPr="008A06E2" w:rsidRDefault="008A06E2" w:rsidP="00916A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06E2">
        <w:rPr>
          <w:rFonts w:ascii="Times New Roman" w:hAnsi="Times New Roman" w:cs="Times New Roman"/>
          <w:sz w:val="24"/>
          <w:szCs w:val="24"/>
        </w:rPr>
        <w:t>В пункте 4.1. «</w:t>
      </w:r>
      <w:r w:rsidRPr="008A06E2">
        <w:rPr>
          <w:rFonts w:ascii="Times New Roman" w:hAnsi="Times New Roman" w:cs="Times New Roman"/>
          <w:sz w:val="24"/>
          <w:szCs w:val="24"/>
        </w:rPr>
        <w:t>Рассмотрение стандартов осуществляется в течение 30 календарных дней с момента их поступления в ответственное подразделение МЧС России в соответствии с пунктом 3.1. порядка.</w:t>
      </w:r>
      <w:r w:rsidRPr="008A06E2">
        <w:rPr>
          <w:rFonts w:ascii="Times New Roman" w:hAnsi="Times New Roman" w:cs="Times New Roman"/>
          <w:sz w:val="24"/>
          <w:szCs w:val="24"/>
        </w:rPr>
        <w:t xml:space="preserve">» - следует уменьшить срок рассмотрения до 10-15 дней, как сделано уже в других документах, например по лицензированию (срок 10, 15 дней статьи 12 (2), 12(3) </w:t>
      </w:r>
      <w:hyperlink r:id="rId7" w:history="1">
        <w:r w:rsidRPr="008A06E2">
          <w:rPr>
            <w:rFonts w:ascii="Times New Roman" w:hAnsi="Times New Roman" w:cs="Times New Roman"/>
            <w:sz w:val="24"/>
            <w:szCs w:val="24"/>
          </w:rPr>
          <w:t>Постановление Правительства РФ от 28.07.2020 N 1128 (ред. от 30.11.2021)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  </w:r>
      </w:hyperlink>
      <w:r w:rsidRPr="008A0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A0" w:rsidRPr="00971AA0" w:rsidRDefault="00904618" w:rsidP="008E0E8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AA0">
        <w:rPr>
          <w:rFonts w:ascii="Times New Roman" w:hAnsi="Times New Roman" w:cs="Times New Roman"/>
          <w:sz w:val="24"/>
          <w:szCs w:val="24"/>
        </w:rPr>
        <w:t>В пункте 4.4. «</w:t>
      </w:r>
      <w:r w:rsidRPr="00971AA0">
        <w:rPr>
          <w:rFonts w:ascii="Times New Roman" w:hAnsi="Times New Roman" w:cs="Times New Roman"/>
          <w:sz w:val="24"/>
          <w:szCs w:val="24"/>
        </w:rPr>
        <w:t>В состав комиссии включаются сотрудники органов государственного пожарного надзора, а также (по согласованию) сотрудники иных органов надзора, специалисты в области организации пожаротушения, эксплуатации пожарной техники, а также инженерно-технические работники и иные специалисты органов государственной власти различного уровня, научно-исследовательских, проектных, общественных и других организаций.</w:t>
      </w:r>
      <w:r w:rsidRPr="00971AA0">
        <w:rPr>
          <w:rFonts w:ascii="Times New Roman" w:hAnsi="Times New Roman" w:cs="Times New Roman"/>
          <w:sz w:val="24"/>
          <w:szCs w:val="24"/>
        </w:rPr>
        <w:t>» следует обязательно в</w:t>
      </w:r>
      <w:r w:rsidR="00374D81">
        <w:rPr>
          <w:rFonts w:ascii="Times New Roman" w:hAnsi="Times New Roman" w:cs="Times New Roman"/>
          <w:sz w:val="24"/>
          <w:szCs w:val="24"/>
        </w:rPr>
        <w:t>вести У</w:t>
      </w:r>
      <w:r w:rsidRPr="00971AA0">
        <w:rPr>
          <w:rFonts w:ascii="Times New Roman" w:hAnsi="Times New Roman" w:cs="Times New Roman"/>
          <w:sz w:val="24"/>
          <w:szCs w:val="24"/>
        </w:rPr>
        <w:t xml:space="preserve">полномоченного по защите прав предпринимателей (Полномочия Уполномоченного - </w:t>
      </w:r>
      <w:r w:rsidRPr="00971AA0">
        <w:rPr>
          <w:rFonts w:ascii="Times New Roman" w:hAnsi="Times New Roman" w:cs="Times New Roman"/>
          <w:sz w:val="24"/>
          <w:szCs w:val="24"/>
        </w:rPr>
        <w:t>Уполномоченный наделен достаточно широким спектром инструментов для разрешения обращений предпринимателей, в том числе и рядом властных полномочий.</w:t>
      </w:r>
      <w:r w:rsidRPr="00971AA0">
        <w:rPr>
          <w:rFonts w:ascii="Times New Roman" w:hAnsi="Times New Roman" w:cs="Times New Roman"/>
          <w:sz w:val="24"/>
          <w:szCs w:val="24"/>
        </w:rPr>
        <w:t xml:space="preserve"> </w:t>
      </w:r>
      <w:r w:rsidRPr="00971AA0">
        <w:rPr>
          <w:rFonts w:ascii="Times New Roman" w:hAnsi="Times New Roman" w:cs="Times New Roman"/>
          <w:sz w:val="24"/>
          <w:szCs w:val="24"/>
        </w:rPr>
        <w:t>Выносить подлежащие немедленному исполнению предписания о приостановлении действия ненормативных правовых актов органов местного самоуправления, нарушающих права и законные интересы предпринимателей</w:t>
      </w:r>
      <w:r w:rsidRPr="00971AA0">
        <w:rPr>
          <w:rFonts w:ascii="Times New Roman" w:hAnsi="Times New Roman" w:cs="Times New Roman"/>
          <w:sz w:val="24"/>
          <w:szCs w:val="24"/>
        </w:rPr>
        <w:t xml:space="preserve"> см. </w:t>
      </w:r>
      <w:r w:rsidRPr="00971AA0">
        <w:rPr>
          <w:rFonts w:ascii="Times New Roman" w:hAnsi="Times New Roman" w:cs="Times New Roman"/>
          <w:sz w:val="24"/>
          <w:szCs w:val="24"/>
        </w:rPr>
        <w:t>Федеральный закон от 7 мая 2013 г. N 78-ФЗ "Об уполномоченных по защите прав предпринимателей в Российской Федерации" (с изменениями и дополнениями</w:t>
      </w:r>
      <w:r w:rsidRPr="00971AA0"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Pr="00971AA0">
          <w:rPr>
            <w:rStyle w:val="a4"/>
            <w:rFonts w:ascii="Times New Roman" w:hAnsi="Times New Roman" w:cs="Times New Roman"/>
            <w:sz w:val="24"/>
            <w:szCs w:val="24"/>
          </w:rPr>
          <w:t>https://www.garant.ru/article/506725/</w:t>
        </w:r>
      </w:hyperlink>
      <w:r w:rsidRPr="00971AA0">
        <w:rPr>
          <w:rFonts w:ascii="Times New Roman" w:hAnsi="Times New Roman" w:cs="Times New Roman"/>
          <w:sz w:val="24"/>
          <w:szCs w:val="24"/>
        </w:rPr>
        <w:t>)</w:t>
      </w:r>
      <w:r w:rsidRPr="00971AA0">
        <w:rPr>
          <w:rFonts w:ascii="Times New Roman" w:hAnsi="Times New Roman" w:cs="Times New Roman"/>
          <w:sz w:val="24"/>
          <w:szCs w:val="24"/>
        </w:rPr>
        <w:t>.</w:t>
      </w:r>
      <w:r w:rsidR="00971AA0" w:rsidRPr="00971AA0">
        <w:rPr>
          <w:rFonts w:ascii="Times New Roman" w:hAnsi="Times New Roman" w:cs="Times New Roman"/>
          <w:sz w:val="24"/>
          <w:szCs w:val="24"/>
        </w:rPr>
        <w:t xml:space="preserve"> И возможно в состав комиссии обязательно необходимо включать представителя общественной организации (по согласованию с ее руководителем) </w:t>
      </w:r>
      <w:proofErr w:type="spellStart"/>
      <w:r w:rsidR="00971AA0" w:rsidRPr="00971AA0">
        <w:rPr>
          <w:rFonts w:ascii="Times New Roman" w:hAnsi="Times New Roman" w:cs="Times New Roman"/>
          <w:sz w:val="24"/>
          <w:szCs w:val="24"/>
        </w:rPr>
        <w:t>ОПОРа</w:t>
      </w:r>
      <w:proofErr w:type="spellEnd"/>
      <w:r w:rsidR="00971AA0" w:rsidRPr="00971AA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71AA0" w:rsidRPr="00971AA0">
          <w:rPr>
            <w:rFonts w:ascii="Times New Roman" w:hAnsi="Times New Roman" w:cs="Times New Roman"/>
            <w:sz w:val="24"/>
            <w:szCs w:val="24"/>
          </w:rPr>
          <w:t>Торгово-промышленная палата Российской Федерации</w:t>
        </w:r>
      </w:hyperlink>
      <w:r w:rsidR="00971AA0" w:rsidRPr="00971AA0">
        <w:rPr>
          <w:rFonts w:ascii="Times New Roman" w:hAnsi="Times New Roman" w:cs="Times New Roman"/>
          <w:sz w:val="24"/>
          <w:szCs w:val="24"/>
        </w:rPr>
        <w:t xml:space="preserve">, </w:t>
      </w:r>
      <w:r w:rsidR="00971AA0">
        <w:rPr>
          <w:rFonts w:ascii="Times New Roman" w:hAnsi="Times New Roman" w:cs="Times New Roman"/>
          <w:sz w:val="24"/>
          <w:szCs w:val="24"/>
        </w:rPr>
        <w:t xml:space="preserve">ВДПО. </w:t>
      </w:r>
    </w:p>
    <w:p w:rsidR="00374D81" w:rsidRPr="00374D81" w:rsidRDefault="00374D81" w:rsidP="00374D8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4.4. «</w:t>
      </w:r>
      <w:r w:rsidRPr="00374D81">
        <w:rPr>
          <w:rFonts w:ascii="Times New Roman" w:hAnsi="Times New Roman" w:cs="Times New Roman"/>
          <w:sz w:val="24"/>
          <w:szCs w:val="24"/>
        </w:rPr>
        <w:t>Квалификационными требованиями к кандидатурам на включение в состав комиссии являются наличие высшего образования и опыта работы в области пожарной безопасности не менее 5 лет</w:t>
      </w:r>
      <w:r>
        <w:rPr>
          <w:rFonts w:ascii="Times New Roman" w:hAnsi="Times New Roman" w:cs="Times New Roman"/>
          <w:sz w:val="24"/>
          <w:szCs w:val="24"/>
        </w:rPr>
        <w:t xml:space="preserve">» - такие требования только для сотрудников ГПС, ФПС и работников Управлений ГПН, но не для привлечённых экспертов и </w:t>
      </w:r>
      <w:r w:rsidRPr="00971AA0">
        <w:rPr>
          <w:rFonts w:ascii="Times New Roman" w:hAnsi="Times New Roman" w:cs="Times New Roman"/>
          <w:sz w:val="24"/>
          <w:szCs w:val="24"/>
        </w:rPr>
        <w:t>уполномоченного по защите прав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A0" w:rsidRDefault="00374D81" w:rsidP="0090461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4.5. «</w:t>
      </w:r>
      <w:r w:rsidRPr="00374D8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стандартов комиссия простым большинством голосов его членов принимает решение о возможности согласования или отказа в согласовании стандарта. Для принятия решения необходимо присутствие на заседании не менее 50% членов комиссии (председатель, заместители председателя, секретари в указанном количестве присутствующих не учитываются). В случае присутствия менее 50% членов комиссии заседание не проводится. При равенстве голосов членов комиссии решающим является голос </w:t>
      </w:r>
      <w:r w:rsidRPr="00374D81">
        <w:rPr>
          <w:rFonts w:ascii="Times New Roman" w:hAnsi="Times New Roman" w:cs="Times New Roman"/>
          <w:sz w:val="24"/>
          <w:szCs w:val="24"/>
        </w:rPr>
        <w:lastRenderedPageBreak/>
        <w:t>председательствовавшего на заседании комиссии.</w:t>
      </w:r>
      <w:r>
        <w:rPr>
          <w:rFonts w:ascii="Times New Roman" w:hAnsi="Times New Roman" w:cs="Times New Roman"/>
          <w:sz w:val="24"/>
          <w:szCs w:val="24"/>
        </w:rPr>
        <w:t xml:space="preserve">» - порядок подсчета и 50 % следует пересмотреть, к примеру ГОСТ принимается абсолютным большинством (с небольшими допущениями по ряду голосов), а СП простым большинством экспертов (не всех участников рассмотрения а экспертов), здесь следует понимать что общественная ценность «требований пожарной безопасности» не может быть на 51 % принята и на 49 % не принята 9приглашенными представителями ОПОРА, ВДПО, Уполномоченный, ТПП), ведь такие вещи как Стандарты не могут быть  приняты простым большинством, велика вероятность ошибки и издержек от не проработанных решений (надзор видит цель снижение гибели и пожаров, а бизнес еще и рентабельность и целесообразность открытия того или иного бизнеса или дела). </w:t>
      </w:r>
    </w:p>
    <w:p w:rsidR="00374D81" w:rsidRPr="00374D81" w:rsidRDefault="00374D81" w:rsidP="00F554D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81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374D81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D81">
        <w:rPr>
          <w:rFonts w:ascii="Times New Roman" w:hAnsi="Times New Roman" w:cs="Times New Roman"/>
          <w:sz w:val="24"/>
          <w:szCs w:val="24"/>
        </w:rPr>
        <w:t>Рассмотрение стандартов может производиться комиссией как в присутствии Заявителя, так и без такового.</w:t>
      </w:r>
      <w:r>
        <w:rPr>
          <w:rFonts w:ascii="Times New Roman" w:hAnsi="Times New Roman" w:cs="Times New Roman"/>
          <w:sz w:val="24"/>
          <w:szCs w:val="24"/>
        </w:rPr>
        <w:t>»  убрать слова «без такового». Необходимо обязательное присутствие либо заявителя, либо его представителя, нельзя такие документы Стандарты выпускать «на автомате» только лишь «по аналогии» как уже было с СТУ в субъектах РФ.</w:t>
      </w:r>
    </w:p>
    <w:p w:rsidR="00374D81" w:rsidRPr="00374D81" w:rsidRDefault="00374D81" w:rsidP="00374D8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81">
        <w:rPr>
          <w:rFonts w:ascii="Times New Roman" w:hAnsi="Times New Roman" w:cs="Times New Roman"/>
          <w:sz w:val="24"/>
          <w:szCs w:val="24"/>
        </w:rPr>
        <w:t>В случае, если в заявлении о рассмотрении стандарта указано рассмотрение стандарта на комиссии исключительно в присутствии Заявителя, то Заявитель уведомляется о дате и месте рассмотрения стандарта.</w:t>
      </w:r>
    </w:p>
    <w:p w:rsidR="00374D81" w:rsidRPr="00374D81" w:rsidRDefault="00374D81" w:rsidP="00253C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81">
        <w:rPr>
          <w:rFonts w:ascii="Times New Roman" w:hAnsi="Times New Roman" w:cs="Times New Roman"/>
          <w:sz w:val="24"/>
          <w:szCs w:val="24"/>
        </w:rPr>
        <w:t xml:space="preserve">В п. </w:t>
      </w:r>
      <w:r w:rsidRPr="00374D81">
        <w:rPr>
          <w:rFonts w:ascii="Times New Roman" w:hAnsi="Times New Roman" w:cs="Times New Roman"/>
          <w:sz w:val="24"/>
          <w:szCs w:val="24"/>
        </w:rPr>
        <w:t xml:space="preserve">4.9. </w:t>
      </w:r>
      <w:r w:rsidRPr="00374D81">
        <w:rPr>
          <w:rFonts w:ascii="Times New Roman" w:hAnsi="Times New Roman" w:cs="Times New Roman"/>
          <w:sz w:val="24"/>
          <w:szCs w:val="24"/>
        </w:rPr>
        <w:t xml:space="preserve"> предусмотреть в том числе иной порядок «прошн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4D81">
        <w:rPr>
          <w:rFonts w:ascii="Times New Roman" w:hAnsi="Times New Roman" w:cs="Times New Roman"/>
          <w:sz w:val="24"/>
          <w:szCs w:val="24"/>
        </w:rPr>
        <w:t xml:space="preserve">рованного» - скажем эл. версии (или внесение сведений в эл реестр как уже сделано в </w:t>
      </w:r>
      <w:hyperlink r:id="rId10" w:history="1">
        <w:r w:rsidRPr="00374D81">
          <w:rPr>
            <w:rFonts w:ascii="Times New Roman" w:hAnsi="Times New Roman" w:cs="Times New Roman"/>
            <w:sz w:val="24"/>
            <w:szCs w:val="24"/>
          </w:rPr>
          <w:t>Постановлени</w:t>
        </w:r>
        <w:r>
          <w:rPr>
            <w:rFonts w:ascii="Times New Roman" w:hAnsi="Times New Roman" w:cs="Times New Roman"/>
            <w:sz w:val="24"/>
            <w:szCs w:val="24"/>
          </w:rPr>
          <w:t>и</w:t>
        </w:r>
        <w:r w:rsidRPr="00374D81">
          <w:rPr>
            <w:rFonts w:ascii="Times New Roman" w:hAnsi="Times New Roman" w:cs="Times New Roman"/>
            <w:sz w:val="24"/>
            <w:szCs w:val="24"/>
          </w:rPr>
          <w:t xml:space="preserve"> Правительства РФ от 28.07.2020 N 1128 (ред. от 30.11.2021)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120B7" w:rsidRPr="00EE6F0B" w:rsidRDefault="008120B7" w:rsidP="008120B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81">
        <w:rPr>
          <w:rFonts w:ascii="Times New Roman" w:hAnsi="Times New Roman" w:cs="Times New Roman"/>
          <w:sz w:val="24"/>
          <w:szCs w:val="24"/>
        </w:rPr>
        <w:t xml:space="preserve">В п. 4.9.  </w:t>
      </w:r>
      <w:r>
        <w:rPr>
          <w:rFonts w:ascii="Times New Roman" w:hAnsi="Times New Roman" w:cs="Times New Roman"/>
          <w:sz w:val="24"/>
          <w:szCs w:val="24"/>
        </w:rPr>
        <w:t xml:space="preserve">сократить срок до 5 дней по аналогии с сокращенными сроками в </w:t>
      </w:r>
      <w:r w:rsidRPr="008A06E2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8A06E2">
        <w:rPr>
          <w:rFonts w:ascii="Times New Roman" w:hAnsi="Times New Roman" w:cs="Times New Roman"/>
          <w:sz w:val="24"/>
          <w:szCs w:val="24"/>
        </w:rPr>
        <w:t xml:space="preserve"> 12 (2), 12(3) </w:t>
      </w:r>
      <w:hyperlink r:id="rId11" w:history="1">
        <w:r w:rsidRPr="008A06E2">
          <w:rPr>
            <w:rFonts w:ascii="Times New Roman" w:hAnsi="Times New Roman" w:cs="Times New Roman"/>
            <w:sz w:val="24"/>
            <w:szCs w:val="24"/>
          </w:rPr>
          <w:t>Постановление Правительства РФ от 28.07.2020 N 1128 (ред. от 30.11.2021)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  </w:r>
      </w:hyperlink>
    </w:p>
    <w:p w:rsidR="008120B7" w:rsidRDefault="008120B7" w:rsidP="00764C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2F5">
        <w:rPr>
          <w:rFonts w:ascii="Times New Roman" w:hAnsi="Times New Roman" w:cs="Times New Roman"/>
          <w:sz w:val="24"/>
          <w:szCs w:val="24"/>
        </w:rPr>
        <w:t>Особо следует оговорить «</w:t>
      </w:r>
      <w:r w:rsidRPr="003772F5">
        <w:rPr>
          <w:rFonts w:ascii="Times New Roman" w:hAnsi="Times New Roman" w:cs="Times New Roman"/>
          <w:sz w:val="24"/>
          <w:szCs w:val="24"/>
        </w:rPr>
        <w:t>4.10. Основаниями для принятия решения об отказе в согласовании стандартов являются:</w:t>
      </w:r>
      <w:r w:rsidRP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3772F5">
        <w:rPr>
          <w:rFonts w:ascii="Times New Roman" w:hAnsi="Times New Roman" w:cs="Times New Roman"/>
          <w:sz w:val="24"/>
          <w:szCs w:val="24"/>
        </w:rPr>
        <w:t>несоответствие представленных стандартов требованиям законодательных и нормативных правовых актов Российской Федерации в области пожарной безопасности;</w:t>
      </w:r>
      <w:r w:rsidRP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3772F5">
        <w:rPr>
          <w:rFonts w:ascii="Times New Roman" w:hAnsi="Times New Roman" w:cs="Times New Roman"/>
          <w:sz w:val="24"/>
          <w:szCs w:val="24"/>
        </w:rPr>
        <w:t>наличие в представленных документах недостоверной или искаженной информации, а также положений, снижающих требования нормативных правовых актов в области пожарной безопасности.</w:t>
      </w:r>
      <w:r w:rsidRPr="003772F5">
        <w:rPr>
          <w:rFonts w:ascii="Times New Roman" w:hAnsi="Times New Roman" w:cs="Times New Roman"/>
          <w:sz w:val="24"/>
          <w:szCs w:val="24"/>
        </w:rPr>
        <w:t>» - слова «</w:t>
      </w:r>
      <w:r w:rsidRPr="003772F5">
        <w:rPr>
          <w:rFonts w:ascii="Times New Roman" w:hAnsi="Times New Roman" w:cs="Times New Roman"/>
          <w:sz w:val="24"/>
          <w:szCs w:val="24"/>
        </w:rPr>
        <w:t>снижающих требования нормативных правовых актов</w:t>
      </w:r>
      <w:r w:rsidRPr="003772F5">
        <w:rPr>
          <w:rFonts w:ascii="Times New Roman" w:hAnsi="Times New Roman" w:cs="Times New Roman"/>
          <w:sz w:val="24"/>
          <w:szCs w:val="24"/>
        </w:rPr>
        <w:t>» не формализованы и являются философскими рассуждениями, более устоявшиеся выражения «снижение уровня безопасности людей») ст. 84 ч. 3 ФЗ-123. Либо указать как</w:t>
      </w:r>
      <w:r w:rsidR="003772F5" w:rsidRPr="003772F5">
        <w:rPr>
          <w:rFonts w:ascii="Times New Roman" w:hAnsi="Times New Roman" w:cs="Times New Roman"/>
          <w:sz w:val="24"/>
          <w:szCs w:val="24"/>
        </w:rPr>
        <w:t xml:space="preserve"> указано в документе - </w:t>
      </w:r>
      <w:r w:rsidR="003772F5" w:rsidRPr="003772F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31 августа 2020 г. N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 </w:t>
      </w:r>
      <w:r w:rsidR="003772F5" w:rsidRPr="003772F5">
        <w:rPr>
          <w:rFonts w:ascii="Times New Roman" w:hAnsi="Times New Roman" w:cs="Times New Roman"/>
          <w:sz w:val="24"/>
          <w:szCs w:val="24"/>
        </w:rPr>
        <w:t xml:space="preserve">где итоговая фраза может звучать так </w:t>
      </w:r>
      <w:r w:rsidRPr="003772F5">
        <w:rPr>
          <w:rFonts w:ascii="Times New Roman" w:hAnsi="Times New Roman" w:cs="Times New Roman"/>
          <w:sz w:val="24"/>
          <w:szCs w:val="24"/>
        </w:rPr>
        <w:t xml:space="preserve">«отсутствие </w:t>
      </w:r>
      <w:r w:rsidRPr="003772F5">
        <w:rPr>
          <w:rFonts w:ascii="Times New Roman" w:hAnsi="Times New Roman" w:cs="Times New Roman"/>
          <w:sz w:val="24"/>
          <w:szCs w:val="24"/>
        </w:rPr>
        <w:t xml:space="preserve">мер по обеспечению выполнения условий, при которых объект защиты (продукция) будет соответствовать требованиям пожарной безопасности, и (или) </w:t>
      </w:r>
      <w:r w:rsidRPr="003772F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3772F5">
        <w:rPr>
          <w:rFonts w:ascii="Times New Roman" w:hAnsi="Times New Roman" w:cs="Times New Roman"/>
          <w:sz w:val="24"/>
          <w:szCs w:val="24"/>
        </w:rPr>
        <w:t>перечня требований пожарной безопасности, при выполнении которых обеспечивается соблюдение противопожарного режима на объекте защиты (продукции).</w:t>
      </w:r>
      <w:r w:rsidRPr="003772F5">
        <w:rPr>
          <w:rFonts w:ascii="Times New Roman" w:hAnsi="Times New Roman" w:cs="Times New Roman"/>
          <w:sz w:val="24"/>
          <w:szCs w:val="24"/>
        </w:rPr>
        <w:t>»</w:t>
      </w:r>
      <w:r w:rsidR="003772F5">
        <w:rPr>
          <w:rFonts w:ascii="Times New Roman" w:hAnsi="Times New Roman" w:cs="Times New Roman"/>
          <w:sz w:val="24"/>
          <w:szCs w:val="24"/>
        </w:rPr>
        <w:t xml:space="preserve"> (подпункт г п. 4 данного постановления).</w:t>
      </w:r>
    </w:p>
    <w:p w:rsidR="0056555E" w:rsidRDefault="003772F5" w:rsidP="0023764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2F5">
        <w:rPr>
          <w:rFonts w:ascii="Times New Roman" w:hAnsi="Times New Roman" w:cs="Times New Roman"/>
          <w:sz w:val="24"/>
          <w:szCs w:val="24"/>
        </w:rPr>
        <w:t xml:space="preserve">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72F5">
        <w:rPr>
          <w:rFonts w:ascii="Times New Roman" w:hAnsi="Times New Roman" w:cs="Times New Roman"/>
          <w:sz w:val="24"/>
          <w:szCs w:val="24"/>
        </w:rPr>
        <w:t xml:space="preserve">.12.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72F5">
        <w:rPr>
          <w:rFonts w:ascii="Times New Roman" w:hAnsi="Times New Roman" w:cs="Times New Roman"/>
          <w:sz w:val="24"/>
          <w:szCs w:val="24"/>
        </w:rPr>
        <w:t>В ответственных подразделениях ведется реестр согласованных стандартов, в который вносится реестровый номер записи о согласовании стандарта, наименование стандарта, наименование организации-разработчика стандарта и номер письма ответственного подразделения МЧС России о согласовании стандарта.</w:t>
      </w:r>
      <w:r>
        <w:rPr>
          <w:rFonts w:ascii="Times New Roman" w:hAnsi="Times New Roman" w:cs="Times New Roman"/>
          <w:sz w:val="24"/>
          <w:szCs w:val="24"/>
        </w:rPr>
        <w:t>» следуе</w:t>
      </w:r>
      <w:r w:rsidR="005655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56555E">
        <w:rPr>
          <w:rFonts w:ascii="Times New Roman" w:hAnsi="Times New Roman" w:cs="Times New Roman"/>
          <w:sz w:val="24"/>
          <w:szCs w:val="24"/>
        </w:rPr>
        <w:t xml:space="preserve"> после слов «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6555E" w:rsidRPr="003772F5">
        <w:rPr>
          <w:rFonts w:ascii="Times New Roman" w:hAnsi="Times New Roman" w:cs="Times New Roman"/>
          <w:sz w:val="24"/>
          <w:szCs w:val="24"/>
        </w:rPr>
        <w:t>наименование организации-разработчика стандарта</w:t>
      </w:r>
      <w:r w:rsidR="0056555E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56555E">
        <w:rPr>
          <w:rFonts w:ascii="Times New Roman" w:hAnsi="Times New Roman" w:cs="Times New Roman"/>
          <w:sz w:val="24"/>
          <w:szCs w:val="24"/>
        </w:rPr>
        <w:t>« и</w:t>
      </w:r>
      <w:proofErr w:type="gramEnd"/>
      <w:r w:rsidR="0056555E">
        <w:rPr>
          <w:rFonts w:ascii="Times New Roman" w:hAnsi="Times New Roman" w:cs="Times New Roman"/>
          <w:sz w:val="24"/>
          <w:szCs w:val="24"/>
        </w:rPr>
        <w:t xml:space="preserve"> фамилии разработчиков стандарта». </w:t>
      </w:r>
    </w:p>
    <w:p w:rsidR="003772F5" w:rsidRPr="003772F5" w:rsidRDefault="0056555E" w:rsidP="0023764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2F5">
        <w:rPr>
          <w:rFonts w:ascii="Times New Roman" w:hAnsi="Times New Roman" w:cs="Times New Roman"/>
          <w:sz w:val="24"/>
          <w:szCs w:val="24"/>
        </w:rPr>
        <w:t xml:space="preserve">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72F5">
        <w:rPr>
          <w:rFonts w:ascii="Times New Roman" w:hAnsi="Times New Roman" w:cs="Times New Roman"/>
          <w:sz w:val="24"/>
          <w:szCs w:val="24"/>
        </w:rPr>
        <w:t xml:space="preserve">.12. </w:t>
      </w:r>
      <w:r>
        <w:rPr>
          <w:rFonts w:ascii="Times New Roman" w:hAnsi="Times New Roman" w:cs="Times New Roman"/>
          <w:sz w:val="24"/>
          <w:szCs w:val="24"/>
        </w:rPr>
        <w:t>Реестр следует вести в эл виде в публичном доступе в том числе с возможностью скачать указанный стандарт для ознакомления (кроме режима секретности).</w:t>
      </w:r>
    </w:p>
    <w:p w:rsidR="003772F5" w:rsidRPr="003772F5" w:rsidRDefault="0056555E" w:rsidP="00764C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2F5">
        <w:rPr>
          <w:rFonts w:ascii="Times New Roman" w:hAnsi="Times New Roman" w:cs="Times New Roman"/>
          <w:sz w:val="24"/>
          <w:szCs w:val="24"/>
        </w:rPr>
        <w:t xml:space="preserve">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72F5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 срок следует уменьшит до 5 дней в почтовой версии и до </w:t>
      </w:r>
      <w:r w:rsidR="00EA5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A58BF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в эл версии. </w:t>
      </w:r>
    </w:p>
    <w:p w:rsidR="00165A1E" w:rsidRPr="00EE6F0B" w:rsidRDefault="00165A1E" w:rsidP="00EA58B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5A1E" w:rsidRPr="00EE6F0B" w:rsidSect="0087788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1337"/>
    <w:multiLevelType w:val="hybridMultilevel"/>
    <w:tmpl w:val="1D36FC9A"/>
    <w:lvl w:ilvl="0" w:tplc="7742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8C"/>
    <w:rsid w:val="00165A1E"/>
    <w:rsid w:val="00374D81"/>
    <w:rsid w:val="003772F5"/>
    <w:rsid w:val="0056555E"/>
    <w:rsid w:val="006C1BE8"/>
    <w:rsid w:val="008120B7"/>
    <w:rsid w:val="0087788C"/>
    <w:rsid w:val="008A06E2"/>
    <w:rsid w:val="00904618"/>
    <w:rsid w:val="00971AA0"/>
    <w:rsid w:val="00EA58BF"/>
    <w:rsid w:val="00E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67D8"/>
  <w15:chartTrackingRefBased/>
  <w15:docId w15:val="{87520B19-83F6-4168-BAAE-90EEE31B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5A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6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0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0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article/50672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905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593104/5c8558b81c691def1b4ca90340691461/" TargetMode="External"/><Relationship Id="rId11" Type="http://schemas.openxmlformats.org/officeDocument/2006/relationships/hyperlink" Target="http://www.consultant.ru/document/cons_doc_LAW_359053/" TargetMode="External"/><Relationship Id="rId5" Type="http://schemas.openxmlformats.org/officeDocument/2006/relationships/hyperlink" Target="https://login.consultant.ru/link/?req=doc&amp;demo=2&amp;base=LAW&amp;n=386954&amp;date=21.10.2021" TargetMode="External"/><Relationship Id="rId10" Type="http://schemas.openxmlformats.org/officeDocument/2006/relationships/hyperlink" Target="http://www.consultant.ru/document/cons_doc_LAW_3590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pprf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Светушенко</dc:creator>
  <cp:keywords/>
  <dc:description/>
  <cp:lastModifiedBy>Станислав Светушенко</cp:lastModifiedBy>
  <cp:revision>6</cp:revision>
  <dcterms:created xsi:type="dcterms:W3CDTF">2022-10-06T18:45:00Z</dcterms:created>
  <dcterms:modified xsi:type="dcterms:W3CDTF">2022-10-06T19:59:00Z</dcterms:modified>
</cp:coreProperties>
</file>